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C1" w:rsidRDefault="000B41C1" w:rsidP="000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1A8C"/>
          <w:sz w:val="36"/>
          <w:szCs w:val="36"/>
        </w:rPr>
      </w:pPr>
      <w:r>
        <w:rPr>
          <w:rFonts w:ascii="Times New Roman" w:hAnsi="Times New Roman" w:cs="Times New Roman"/>
          <w:color w:val="551A8C"/>
          <w:sz w:val="36"/>
          <w:szCs w:val="36"/>
        </w:rPr>
        <w:t>Incomes chargeable to tax U/s. 172 cannot be subject to TDS under chapter XVII-B</w:t>
      </w:r>
    </w:p>
    <w:p w:rsidR="000B41C1" w:rsidRDefault="000B41C1" w:rsidP="000B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1A8C"/>
          <w:sz w:val="36"/>
          <w:szCs w:val="36"/>
        </w:rPr>
      </w:pP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D329F">
        <w:rPr>
          <w:rFonts w:cs="Times New Roman"/>
          <w:b/>
          <w:sz w:val="24"/>
          <w:szCs w:val="24"/>
        </w:rPr>
        <w:t>Brief of the case:</w:t>
      </w:r>
    </w:p>
    <w:p w:rsidR="000B41C1" w:rsidRPr="00CD329F" w:rsidRDefault="000B41C1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 xml:space="preserve">The </w:t>
      </w:r>
      <w:proofErr w:type="spellStart"/>
      <w:r w:rsidRPr="00CD329F">
        <w:rPr>
          <w:rFonts w:cs="Times New Roman"/>
          <w:sz w:val="24"/>
          <w:szCs w:val="24"/>
        </w:rPr>
        <w:t>Hon’ble</w:t>
      </w:r>
      <w:proofErr w:type="spellEnd"/>
      <w:r w:rsidRPr="00CD329F">
        <w:rPr>
          <w:rFonts w:cs="Times New Roman"/>
          <w:sz w:val="24"/>
          <w:szCs w:val="24"/>
        </w:rPr>
        <w:t xml:space="preserve"> Bombay HC in the case of CIT vs. </w:t>
      </w:r>
      <w:proofErr w:type="spellStart"/>
      <w:r w:rsidRPr="00CD329F">
        <w:rPr>
          <w:rFonts w:cs="Times New Roman"/>
          <w:sz w:val="24"/>
          <w:szCs w:val="24"/>
        </w:rPr>
        <w:t>Dempo</w:t>
      </w:r>
      <w:proofErr w:type="spellEnd"/>
      <w:r w:rsidRPr="00CD329F">
        <w:rPr>
          <w:rFonts w:cs="Times New Roman"/>
          <w:sz w:val="24"/>
          <w:szCs w:val="24"/>
        </w:rPr>
        <w:t xml:space="preserve"> and Co. P. Ltd that when the non- resident payee is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assessable under special provisions contained in Sec 172 , then the payer cannot be made responsible for deducting tax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at source on the payments made to non-resident. Therefore, disallowance of expenditure cannot be justified. However,</w:t>
      </w: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CD329F">
        <w:rPr>
          <w:rFonts w:cs="Times New Roman"/>
          <w:sz w:val="24"/>
          <w:szCs w:val="24"/>
        </w:rPr>
        <w:t>the</w:t>
      </w:r>
      <w:proofErr w:type="gramEnd"/>
      <w:r w:rsidRPr="00CD329F">
        <w:rPr>
          <w:rFonts w:cs="Times New Roman"/>
          <w:sz w:val="24"/>
          <w:szCs w:val="24"/>
        </w:rPr>
        <w:t xml:space="preserve"> Divisional Bench of High court referred the case to Larger Bench due to disagreement with the view taken by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Division Bench in earlier case on identical facts.</w:t>
      </w:r>
    </w:p>
    <w:p w:rsidR="000B41C1" w:rsidRPr="00CD329F" w:rsidRDefault="000B41C1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D329F">
        <w:rPr>
          <w:rFonts w:cs="Times New Roman"/>
          <w:b/>
          <w:sz w:val="24"/>
          <w:szCs w:val="24"/>
        </w:rPr>
        <w:t>Facts of the case:</w:t>
      </w:r>
    </w:p>
    <w:p w:rsidR="000B41C1" w:rsidRPr="00CD329F" w:rsidRDefault="000B41C1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 xml:space="preserve">The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in its return of income had claimed expenditure of</w:t>
      </w:r>
      <w:r w:rsidR="000B41C1" w:rsidRPr="00CD329F">
        <w:rPr>
          <w:rFonts w:cs="Times New Roman"/>
          <w:sz w:val="24"/>
          <w:szCs w:val="24"/>
        </w:rPr>
        <w:t xml:space="preserve"> Rs.1.8 </w:t>
      </w:r>
      <w:proofErr w:type="spellStart"/>
      <w:r w:rsidR="000B41C1" w:rsidRPr="00CD329F">
        <w:rPr>
          <w:rFonts w:cs="Times New Roman"/>
          <w:sz w:val="24"/>
          <w:szCs w:val="24"/>
        </w:rPr>
        <w:t>crores</w:t>
      </w:r>
      <w:proofErr w:type="spellEnd"/>
      <w:r w:rsidR="000B41C1" w:rsidRPr="00CD329F">
        <w:rPr>
          <w:rFonts w:cs="Times New Roman"/>
          <w:sz w:val="24"/>
          <w:szCs w:val="24"/>
        </w:rPr>
        <w:t xml:space="preserve"> being the </w:t>
      </w:r>
      <w:r w:rsidRPr="00CD329F">
        <w:rPr>
          <w:rFonts w:cs="Times New Roman"/>
          <w:sz w:val="24"/>
          <w:szCs w:val="24"/>
        </w:rPr>
        <w:t>demurrage claim paid to a nonresident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shipping company. The Assessing Officer disallowed such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expenditure for failure to deduct tax at source under Section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195 of the Act.</w:t>
      </w: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 xml:space="preserve">The argument of the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for non-deducting tax at source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was that since the payee is non-resident shipping company the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provision of Chapter XVII-B relating to TDS are not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applicable as the payee is governed by Sec 172 which is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specially for non-resident carrying on shipping business.</w:t>
      </w: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 xml:space="preserve">CIT (A) rejected the claim of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and held that the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income of payee would be computed by Sec 44B and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therefore, the TDS provisions are applicable.</w:t>
      </w:r>
    </w:p>
    <w:p w:rsidR="00F949B8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 xml:space="preserve">However, Tribunal allowed the claim of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by following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 xml:space="preserve">its earlier decision in the case of DCIT </w:t>
      </w:r>
      <w:proofErr w:type="gramStart"/>
      <w:r w:rsidRPr="00CD329F">
        <w:rPr>
          <w:rFonts w:cs="Times New Roman"/>
          <w:sz w:val="24"/>
          <w:szCs w:val="24"/>
        </w:rPr>
        <w:t>Vs</w:t>
      </w:r>
      <w:proofErr w:type="gramEnd"/>
      <w:r w:rsidRPr="00CD329F">
        <w:rPr>
          <w:rFonts w:cs="Times New Roman"/>
          <w:sz w:val="24"/>
          <w:szCs w:val="24"/>
        </w:rPr>
        <w:t>. Orient (Goa) (P)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Ltd. rendered on 2 December 2004.Tribunal relied on CBDT Circular N0. 723 and held that Section 172 of the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Act is a charging as well as a machinery provision in respect of nonresident shipping companies. It provides for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determination and collection of tax. Thus Chapter XVII of the Act in respect of deducting tax at source would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not apply in such cases.</w:t>
      </w:r>
    </w:p>
    <w:p w:rsidR="00CD329F" w:rsidRPr="00CD329F" w:rsidRDefault="00CD329F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D329F">
        <w:rPr>
          <w:rFonts w:cs="Times New Roman"/>
          <w:b/>
          <w:sz w:val="24"/>
          <w:szCs w:val="24"/>
        </w:rPr>
        <w:t>Contention of Revenue:</w:t>
      </w:r>
    </w:p>
    <w:p w:rsidR="000B41C1" w:rsidRPr="00CD329F" w:rsidRDefault="000B41C1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>It was submitted that the same issue has been considered by Division Bench of the same court in the case of</w:t>
      </w:r>
      <w:r w:rsidR="000B41C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Orient Goa P. Ltd. 325 ITR 554 and in that case the court reversed the findings of tribunal and upheld the</w:t>
      </w:r>
      <w:r w:rsidR="00C71679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disallowance u/s 40(a</w:t>
      </w:r>
      <w:proofErr w:type="gramStart"/>
      <w:r w:rsidRPr="00CD329F">
        <w:rPr>
          <w:rFonts w:cs="Times New Roman"/>
          <w:sz w:val="24"/>
          <w:szCs w:val="24"/>
        </w:rPr>
        <w:t>)(</w:t>
      </w:r>
      <w:proofErr w:type="spellStart"/>
      <w:proofErr w:type="gramEnd"/>
      <w:r w:rsidRPr="00CD329F">
        <w:rPr>
          <w:rFonts w:cs="Times New Roman"/>
          <w:sz w:val="24"/>
          <w:szCs w:val="24"/>
        </w:rPr>
        <w:t>i</w:t>
      </w:r>
      <w:proofErr w:type="spellEnd"/>
      <w:r w:rsidRPr="00CD329F">
        <w:rPr>
          <w:rFonts w:cs="Times New Roman"/>
          <w:sz w:val="24"/>
          <w:szCs w:val="24"/>
        </w:rPr>
        <w:t>).</w:t>
      </w: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>Therefore, the same decision should be followed by the court in this case also.</w:t>
      </w:r>
    </w:p>
    <w:p w:rsidR="003B0580" w:rsidRPr="00CD329F" w:rsidRDefault="003B0580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D329F">
        <w:rPr>
          <w:rFonts w:cs="Times New Roman"/>
          <w:b/>
          <w:sz w:val="24"/>
          <w:szCs w:val="24"/>
        </w:rPr>
        <w:t xml:space="preserve">Contention of </w:t>
      </w:r>
      <w:proofErr w:type="spellStart"/>
      <w:r w:rsidRPr="00CD329F">
        <w:rPr>
          <w:rFonts w:cs="Times New Roman"/>
          <w:b/>
          <w:sz w:val="24"/>
          <w:szCs w:val="24"/>
        </w:rPr>
        <w:t>Assessee</w:t>
      </w:r>
      <w:proofErr w:type="spellEnd"/>
      <w:r w:rsidRPr="00CD329F">
        <w:rPr>
          <w:rFonts w:cs="Times New Roman"/>
          <w:b/>
          <w:sz w:val="24"/>
          <w:szCs w:val="24"/>
        </w:rPr>
        <w:t>:</w:t>
      </w: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 xml:space="preserve">The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had no obligation to deduct tax u/s 40(a)(</w:t>
      </w:r>
      <w:proofErr w:type="spellStart"/>
      <w:r w:rsidRPr="00CD329F">
        <w:rPr>
          <w:rFonts w:cs="Times New Roman"/>
          <w:sz w:val="24"/>
          <w:szCs w:val="24"/>
        </w:rPr>
        <w:t>i</w:t>
      </w:r>
      <w:proofErr w:type="spellEnd"/>
      <w:r w:rsidRPr="00CD329F">
        <w:rPr>
          <w:rFonts w:cs="Times New Roman"/>
          <w:sz w:val="24"/>
          <w:szCs w:val="24"/>
        </w:rPr>
        <w:t>) on demurrage charges paid to foreign shipping company</w:t>
      </w:r>
      <w:r w:rsidR="003B0580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because non-resident shipping company engaged in operation of ships are governed by Section 172 of the Act</w:t>
      </w:r>
      <w:r w:rsidR="003B0580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which provide altogether a different machinery to tax such income of non-resident ship wise or journey wise.</w:t>
      </w: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lastRenderedPageBreak/>
        <w:t>Further , as per CBDT circular 723 dated 19</w:t>
      </w:r>
      <w:r w:rsidRPr="00CD329F">
        <w:rPr>
          <w:rFonts w:cs="Times New Roman"/>
          <w:sz w:val="20"/>
          <w:szCs w:val="20"/>
        </w:rPr>
        <w:t xml:space="preserve">th </w:t>
      </w:r>
      <w:r w:rsidRPr="00CD329F">
        <w:rPr>
          <w:rFonts w:cs="Times New Roman"/>
          <w:sz w:val="24"/>
          <w:szCs w:val="24"/>
        </w:rPr>
        <w:t xml:space="preserve">September,1995 also provides that Section 172 is a </w:t>
      </w:r>
      <w:proofErr w:type="spellStart"/>
      <w:r w:rsidRPr="00CD329F">
        <w:rPr>
          <w:rFonts w:cs="Times New Roman"/>
          <w:sz w:val="24"/>
          <w:szCs w:val="24"/>
        </w:rPr>
        <w:t>selfcontained</w:t>
      </w:r>
      <w:proofErr w:type="spellEnd"/>
      <w:r w:rsidR="008360E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code for levy and recovery of taxes ship wise and journey wise in case of ships owned or chartered by</w:t>
      </w:r>
      <w:r w:rsidR="008360E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non-residents.</w:t>
      </w: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 xml:space="preserve">Therefore, since the normal provisions of sec are not applicable to </w:t>
      </w:r>
      <w:proofErr w:type="gramStart"/>
      <w:r w:rsidRPr="00CD329F">
        <w:rPr>
          <w:rFonts w:cs="Times New Roman"/>
          <w:sz w:val="24"/>
          <w:szCs w:val="24"/>
        </w:rPr>
        <w:t>payee ,</w:t>
      </w:r>
      <w:proofErr w:type="gramEnd"/>
      <w:r w:rsidRPr="00CD329F">
        <w:rPr>
          <w:rFonts w:cs="Times New Roman"/>
          <w:sz w:val="24"/>
          <w:szCs w:val="24"/>
        </w:rPr>
        <w:t xml:space="preserve"> no obligation to deduct tax u/s 195</w:t>
      </w:r>
      <w:r w:rsidR="008360E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and thereby no disallowance can be made u/s 40(a)(</w:t>
      </w:r>
      <w:proofErr w:type="spellStart"/>
      <w:r w:rsidRPr="00CD329F">
        <w:rPr>
          <w:rFonts w:cs="Times New Roman"/>
          <w:sz w:val="24"/>
          <w:szCs w:val="24"/>
        </w:rPr>
        <w:t>i</w:t>
      </w:r>
      <w:proofErr w:type="spellEnd"/>
      <w:r w:rsidRPr="00CD329F">
        <w:rPr>
          <w:rFonts w:cs="Times New Roman"/>
          <w:sz w:val="24"/>
          <w:szCs w:val="24"/>
        </w:rPr>
        <w:t>).</w:t>
      </w:r>
    </w:p>
    <w:p w:rsidR="008360E1" w:rsidRPr="00CD329F" w:rsidRDefault="008360E1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D329F">
        <w:rPr>
          <w:rFonts w:cs="Times New Roman"/>
          <w:b/>
          <w:sz w:val="24"/>
          <w:szCs w:val="24"/>
        </w:rPr>
        <w:t>Issue before High Court:</w:t>
      </w:r>
    </w:p>
    <w:p w:rsidR="008360E1" w:rsidRPr="00CD329F" w:rsidRDefault="008360E1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F949B8" w:rsidRPr="00CD329F" w:rsidRDefault="00F949B8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 xml:space="preserve">Whether on the facts and in the circumstances of the case, the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was entitled to claim deduction of the</w:t>
      </w:r>
      <w:r w:rsidR="008360E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demurrage charges of Rs.1</w:t>
      </w:r>
      <w:proofErr w:type="gramStart"/>
      <w:r w:rsidRPr="00CD329F">
        <w:rPr>
          <w:rFonts w:cs="Times New Roman"/>
          <w:sz w:val="24"/>
          <w:szCs w:val="24"/>
        </w:rPr>
        <w:t>,08,53,980</w:t>
      </w:r>
      <w:proofErr w:type="gramEnd"/>
      <w:r w:rsidRPr="00CD329F">
        <w:rPr>
          <w:rFonts w:cs="Times New Roman"/>
          <w:sz w:val="24"/>
          <w:szCs w:val="24"/>
        </w:rPr>
        <w:t>/paid to foreign company, without deducting tax on it, under sec 40(a)(</w:t>
      </w:r>
      <w:proofErr w:type="spellStart"/>
      <w:r w:rsidRPr="00CD329F">
        <w:rPr>
          <w:rFonts w:cs="Times New Roman"/>
          <w:sz w:val="24"/>
          <w:szCs w:val="24"/>
        </w:rPr>
        <w:t>i</w:t>
      </w:r>
      <w:proofErr w:type="spellEnd"/>
      <w:r w:rsidRPr="00CD329F">
        <w:rPr>
          <w:rFonts w:cs="Times New Roman"/>
          <w:sz w:val="24"/>
          <w:szCs w:val="24"/>
        </w:rPr>
        <w:t>) of</w:t>
      </w:r>
      <w:r w:rsidR="008360E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the IT Act,1961.</w:t>
      </w:r>
    </w:p>
    <w:p w:rsidR="008360E1" w:rsidRPr="00CD329F" w:rsidRDefault="008360E1" w:rsidP="00F949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60E1" w:rsidRPr="00CD329F" w:rsidRDefault="008360E1" w:rsidP="000B41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B41C1" w:rsidRPr="00CD329F" w:rsidRDefault="000B41C1" w:rsidP="000B41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D329F">
        <w:rPr>
          <w:rFonts w:cs="Times New Roman"/>
          <w:b/>
          <w:sz w:val="24"/>
          <w:szCs w:val="24"/>
        </w:rPr>
        <w:t xml:space="preserve">Held by </w:t>
      </w:r>
      <w:proofErr w:type="spellStart"/>
      <w:r w:rsidRPr="00CD329F">
        <w:rPr>
          <w:rFonts w:cs="Times New Roman"/>
          <w:b/>
          <w:sz w:val="24"/>
          <w:szCs w:val="24"/>
        </w:rPr>
        <w:t>Hon’ble</w:t>
      </w:r>
      <w:proofErr w:type="spellEnd"/>
      <w:r w:rsidRPr="00CD329F">
        <w:rPr>
          <w:rFonts w:cs="Times New Roman"/>
          <w:b/>
          <w:sz w:val="24"/>
          <w:szCs w:val="24"/>
        </w:rPr>
        <w:t xml:space="preserve"> Bombay High Court:</w:t>
      </w:r>
    </w:p>
    <w:p w:rsidR="008360E1" w:rsidRPr="00CD329F" w:rsidRDefault="008360E1" w:rsidP="000B41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B0580" w:rsidRPr="00CD329F" w:rsidRDefault="000B41C1" w:rsidP="003B05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>The High court examined its own earlier decision in the case of M/s Orient (Goa</w:t>
      </w:r>
      <w:proofErr w:type="gramStart"/>
      <w:r w:rsidRPr="00CD329F">
        <w:rPr>
          <w:rFonts w:cs="Times New Roman"/>
          <w:sz w:val="24"/>
          <w:szCs w:val="24"/>
        </w:rPr>
        <w:t>)(</w:t>
      </w:r>
      <w:proofErr w:type="gramEnd"/>
      <w:r w:rsidRPr="00CD329F">
        <w:rPr>
          <w:rFonts w:cs="Times New Roman"/>
          <w:sz w:val="24"/>
          <w:szCs w:val="24"/>
        </w:rPr>
        <w:t>P) Ltd, 325 ITR 554.In that</w:t>
      </w:r>
      <w:r w:rsidR="008360E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>case the court held Sec 172 is applicable only in respect of non-resident carrying on shipping business . Sec 172</w:t>
      </w:r>
      <w:r w:rsidR="008360E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 xml:space="preserve">has no application in relation to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company (payer) because we are not examining the tax liability of</w:t>
      </w:r>
      <w:r w:rsidR="008360E1" w:rsidRPr="00CD329F">
        <w:rPr>
          <w:rFonts w:cs="Times New Roman"/>
          <w:sz w:val="24"/>
          <w:szCs w:val="24"/>
        </w:rPr>
        <w:t xml:space="preserve"> </w:t>
      </w:r>
      <w:r w:rsidRPr="00CD329F">
        <w:rPr>
          <w:rFonts w:cs="Times New Roman"/>
          <w:sz w:val="24"/>
          <w:szCs w:val="24"/>
        </w:rPr>
        <w:t xml:space="preserve">foreign company and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is not a foreign company Therefore, to fall in the purview of sec 172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has</w:t>
      </w:r>
      <w:r w:rsidR="003B0580" w:rsidRPr="00CD329F">
        <w:rPr>
          <w:rFonts w:cs="Times New Roman"/>
          <w:sz w:val="24"/>
          <w:szCs w:val="24"/>
        </w:rPr>
        <w:t xml:space="preserve"> to be non-</w:t>
      </w:r>
      <w:r w:rsidR="00CD329F" w:rsidRPr="00CD329F">
        <w:rPr>
          <w:rFonts w:cs="Times New Roman"/>
          <w:sz w:val="24"/>
          <w:szCs w:val="24"/>
        </w:rPr>
        <w:t xml:space="preserve">resident which is not the case. </w:t>
      </w:r>
      <w:r w:rsidR="003B0580" w:rsidRPr="00CD329F">
        <w:rPr>
          <w:rFonts w:cs="Times New Roman"/>
          <w:sz w:val="24"/>
          <w:szCs w:val="24"/>
        </w:rPr>
        <w:t xml:space="preserve">But the High court (in present case) could not satisfy the view taken by its Division Bench’s decision </w:t>
      </w:r>
      <w:r w:rsidR="00CD329F" w:rsidRPr="00CD329F">
        <w:rPr>
          <w:rFonts w:cs="Times New Roman"/>
          <w:sz w:val="24"/>
          <w:szCs w:val="24"/>
        </w:rPr>
        <w:t xml:space="preserve">in Orient P. </w:t>
      </w:r>
      <w:r w:rsidR="003B0580" w:rsidRPr="00CD329F">
        <w:rPr>
          <w:rFonts w:cs="Times New Roman"/>
          <w:sz w:val="24"/>
          <w:szCs w:val="24"/>
        </w:rPr>
        <w:t xml:space="preserve">Ltd case. This is for reason that Section 172 of the Act provides a complete code </w:t>
      </w:r>
      <w:r w:rsidR="00CD329F" w:rsidRPr="00CD329F">
        <w:rPr>
          <w:rFonts w:cs="Times New Roman"/>
          <w:sz w:val="24"/>
          <w:szCs w:val="24"/>
        </w:rPr>
        <w:t xml:space="preserve">itself for levy and recovery of </w:t>
      </w:r>
      <w:r w:rsidR="003B0580" w:rsidRPr="00CD329F">
        <w:rPr>
          <w:rFonts w:cs="Times New Roman"/>
          <w:sz w:val="24"/>
          <w:szCs w:val="24"/>
        </w:rPr>
        <w:t>tax ship wise a</w:t>
      </w:r>
      <w:r w:rsidR="00CD329F" w:rsidRPr="00CD329F">
        <w:rPr>
          <w:rFonts w:cs="Times New Roman"/>
          <w:sz w:val="24"/>
          <w:szCs w:val="24"/>
        </w:rPr>
        <w:t xml:space="preserve">nd journey wise and the same is </w:t>
      </w:r>
      <w:r w:rsidR="003B0580" w:rsidRPr="00CD329F">
        <w:rPr>
          <w:rFonts w:cs="Times New Roman"/>
          <w:sz w:val="24"/>
          <w:szCs w:val="24"/>
        </w:rPr>
        <w:t>provided in circular no. 723 iss</w:t>
      </w:r>
      <w:r w:rsidR="00CD329F" w:rsidRPr="00CD329F">
        <w:rPr>
          <w:rFonts w:cs="Times New Roman"/>
          <w:sz w:val="24"/>
          <w:szCs w:val="24"/>
        </w:rPr>
        <w:t xml:space="preserve">ued by CBDT. Section 172 of the </w:t>
      </w:r>
      <w:r w:rsidR="003B0580" w:rsidRPr="00CD329F">
        <w:rPr>
          <w:rFonts w:cs="Times New Roman"/>
          <w:sz w:val="24"/>
          <w:szCs w:val="24"/>
        </w:rPr>
        <w:t>Act has to be examined through the prism of the non-resident shipping company in respect of its income.</w:t>
      </w:r>
    </w:p>
    <w:p w:rsidR="003B0580" w:rsidRPr="00CD329F" w:rsidRDefault="003B0580" w:rsidP="003B05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 xml:space="preserve">As such, the logic behind considering the </w:t>
      </w:r>
      <w:proofErr w:type="spellStart"/>
      <w:r w:rsidRPr="00CD329F">
        <w:rPr>
          <w:rFonts w:cs="Times New Roman"/>
          <w:sz w:val="24"/>
          <w:szCs w:val="24"/>
        </w:rPr>
        <w:t>assessee</w:t>
      </w:r>
      <w:proofErr w:type="spellEnd"/>
      <w:r w:rsidRPr="00CD329F">
        <w:rPr>
          <w:rFonts w:cs="Times New Roman"/>
          <w:sz w:val="24"/>
          <w:szCs w:val="24"/>
        </w:rPr>
        <w:t xml:space="preserve"> in isolation and ignoring the </w:t>
      </w:r>
      <w:r w:rsidR="00CD329F" w:rsidRPr="00CD329F">
        <w:rPr>
          <w:rFonts w:cs="Times New Roman"/>
          <w:sz w:val="24"/>
          <w:szCs w:val="24"/>
        </w:rPr>
        <w:t xml:space="preserve">fact that the payee’s income is </w:t>
      </w:r>
      <w:r w:rsidRPr="00CD329F">
        <w:rPr>
          <w:rFonts w:cs="Times New Roman"/>
          <w:sz w:val="24"/>
          <w:szCs w:val="24"/>
        </w:rPr>
        <w:t>taxable u/s 172 under a totally different mechanism , is not clear to this court in the present case.</w:t>
      </w:r>
    </w:p>
    <w:p w:rsidR="003B0580" w:rsidRPr="00CD329F" w:rsidRDefault="003B0580" w:rsidP="003B05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>But it is well settled position under the law that it is not open to a Division Bench</w:t>
      </w:r>
      <w:r w:rsidR="00CD329F" w:rsidRPr="00CD329F">
        <w:rPr>
          <w:rFonts w:cs="Times New Roman"/>
          <w:sz w:val="24"/>
          <w:szCs w:val="24"/>
        </w:rPr>
        <w:t xml:space="preserve"> to take a view contrary to the </w:t>
      </w:r>
      <w:r w:rsidRPr="00CD329F">
        <w:rPr>
          <w:rFonts w:cs="Times New Roman"/>
          <w:sz w:val="24"/>
          <w:szCs w:val="24"/>
        </w:rPr>
        <w:t>view taken by another Division Bench of this Court.</w:t>
      </w:r>
    </w:p>
    <w:p w:rsidR="003B0580" w:rsidRDefault="003B0580" w:rsidP="003B05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329F">
        <w:rPr>
          <w:rFonts w:cs="Times New Roman"/>
          <w:sz w:val="24"/>
          <w:szCs w:val="24"/>
        </w:rPr>
        <w:t>In such circumstances, it is best to refer the issue to Larger Bench of this Court. C</w:t>
      </w:r>
      <w:r w:rsidR="00CD329F" w:rsidRPr="00CD329F">
        <w:rPr>
          <w:rFonts w:cs="Times New Roman"/>
          <w:sz w:val="24"/>
          <w:szCs w:val="24"/>
        </w:rPr>
        <w:t xml:space="preserve">ertainty of law is an important </w:t>
      </w:r>
      <w:r w:rsidRPr="00CD329F">
        <w:rPr>
          <w:rFonts w:cs="Times New Roman"/>
          <w:sz w:val="24"/>
          <w:szCs w:val="24"/>
        </w:rPr>
        <w:t>ingredient of Rule of Law.</w:t>
      </w:r>
    </w:p>
    <w:p w:rsidR="00CD329F" w:rsidRDefault="00CD329F" w:rsidP="003B05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D329F" w:rsidRDefault="00CD329F" w:rsidP="003B05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D329F" w:rsidRPr="00CD329F" w:rsidRDefault="00CD329F" w:rsidP="003B05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Source courtesy:taxguru.in</w:t>
      </w:r>
    </w:p>
    <w:p w:rsidR="003B0580" w:rsidRPr="00CD329F" w:rsidRDefault="003B0580" w:rsidP="003B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B0580" w:rsidRPr="00CD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9F" w:rsidRDefault="00CD329F" w:rsidP="00F949B8">
      <w:pPr>
        <w:spacing w:after="0" w:line="240" w:lineRule="auto"/>
      </w:pPr>
      <w:r>
        <w:separator/>
      </w:r>
    </w:p>
  </w:endnote>
  <w:endnote w:type="continuationSeparator" w:id="1">
    <w:p w:rsidR="00CD329F" w:rsidRDefault="00CD329F" w:rsidP="00F9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9F" w:rsidRDefault="00CD329F" w:rsidP="00F949B8">
      <w:pPr>
        <w:spacing w:after="0" w:line="240" w:lineRule="auto"/>
      </w:pPr>
      <w:r>
        <w:separator/>
      </w:r>
    </w:p>
  </w:footnote>
  <w:footnote w:type="continuationSeparator" w:id="1">
    <w:p w:rsidR="00CD329F" w:rsidRDefault="00CD329F" w:rsidP="00F9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981"/>
    <w:multiLevelType w:val="multilevel"/>
    <w:tmpl w:val="964C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24558"/>
    <w:multiLevelType w:val="multilevel"/>
    <w:tmpl w:val="26A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A161A"/>
    <w:multiLevelType w:val="multilevel"/>
    <w:tmpl w:val="CAD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957FF"/>
    <w:multiLevelType w:val="multilevel"/>
    <w:tmpl w:val="5994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B026D"/>
    <w:multiLevelType w:val="multilevel"/>
    <w:tmpl w:val="821C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C40B3"/>
    <w:multiLevelType w:val="multilevel"/>
    <w:tmpl w:val="8D4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41017"/>
    <w:multiLevelType w:val="multilevel"/>
    <w:tmpl w:val="EDAE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525DC"/>
    <w:multiLevelType w:val="multilevel"/>
    <w:tmpl w:val="4D1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F37FC"/>
    <w:multiLevelType w:val="multilevel"/>
    <w:tmpl w:val="FEC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93670"/>
    <w:multiLevelType w:val="multilevel"/>
    <w:tmpl w:val="321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9B8"/>
    <w:rsid w:val="000B41C1"/>
    <w:rsid w:val="003B0580"/>
    <w:rsid w:val="008360E1"/>
    <w:rsid w:val="00C71679"/>
    <w:rsid w:val="00CD329F"/>
    <w:rsid w:val="00F9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4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9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49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49B8"/>
    <w:rPr>
      <w:color w:val="0000FF"/>
      <w:u w:val="single"/>
    </w:rPr>
  </w:style>
  <w:style w:type="character" w:customStyle="1" w:styleId="day">
    <w:name w:val="day"/>
    <w:basedOn w:val="DefaultParagraphFont"/>
    <w:rsid w:val="00F949B8"/>
  </w:style>
  <w:style w:type="character" w:customStyle="1" w:styleId="apple-converted-space">
    <w:name w:val="apple-converted-space"/>
    <w:basedOn w:val="DefaultParagraphFont"/>
    <w:rsid w:val="00F949B8"/>
  </w:style>
  <w:style w:type="paragraph" w:styleId="NormalWeb">
    <w:name w:val="Normal (Web)"/>
    <w:basedOn w:val="Normal"/>
    <w:uiPriority w:val="99"/>
    <w:semiHidden/>
    <w:unhideWhenUsed/>
    <w:rsid w:val="00F9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8"/>
    <w:rPr>
      <w:b/>
      <w:bCs/>
    </w:rPr>
  </w:style>
  <w:style w:type="paragraph" w:customStyle="1" w:styleId="postmetadata">
    <w:name w:val="postmetadata"/>
    <w:basedOn w:val="Normal"/>
    <w:rsid w:val="00F9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utton">
    <w:name w:val="stbutton"/>
    <w:basedOn w:val="DefaultParagraphFont"/>
    <w:rsid w:val="00F949B8"/>
  </w:style>
  <w:style w:type="character" w:customStyle="1" w:styleId="stmainservices">
    <w:name w:val="stmainservices"/>
    <w:basedOn w:val="DefaultParagraphFont"/>
    <w:rsid w:val="00F949B8"/>
  </w:style>
  <w:style w:type="character" w:customStyle="1" w:styleId="stfblikevcount">
    <w:name w:val="st_fblike_vcount"/>
    <w:basedOn w:val="DefaultParagraphFont"/>
    <w:rsid w:val="00F949B8"/>
  </w:style>
  <w:style w:type="character" w:customStyle="1" w:styleId="stfbsubvcount">
    <w:name w:val="st_fbsub_vcount"/>
    <w:basedOn w:val="DefaultParagraphFont"/>
    <w:rsid w:val="00F949B8"/>
  </w:style>
  <w:style w:type="character" w:customStyle="1" w:styleId="chicklets">
    <w:name w:val="chicklets"/>
    <w:basedOn w:val="DefaultParagraphFont"/>
    <w:rsid w:val="00F949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9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9B8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F9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F949B8"/>
  </w:style>
  <w:style w:type="paragraph" w:customStyle="1" w:styleId="comment-form-author">
    <w:name w:val="comment-form-author"/>
    <w:basedOn w:val="Normal"/>
    <w:rsid w:val="00F9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F9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F9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F9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F9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9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9B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9B8"/>
  </w:style>
  <w:style w:type="paragraph" w:styleId="Footer">
    <w:name w:val="footer"/>
    <w:basedOn w:val="Normal"/>
    <w:link w:val="FooterChar"/>
    <w:uiPriority w:val="99"/>
    <w:semiHidden/>
    <w:unhideWhenUsed/>
    <w:rsid w:val="00F9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66">
                      <w:marLeft w:val="0"/>
                      <w:marRight w:val="0"/>
                      <w:marTop w:val="0"/>
                      <w:marBottom w:val="345"/>
                      <w:divBdr>
                        <w:top w:val="single" w:sz="6" w:space="11" w:color="C7C7C6"/>
                        <w:left w:val="single" w:sz="6" w:space="11" w:color="C7C7C6"/>
                        <w:bottom w:val="single" w:sz="6" w:space="11" w:color="C7C7C6"/>
                        <w:right w:val="single" w:sz="6" w:space="11" w:color="C7C7C6"/>
                      </w:divBdr>
                      <w:divsChild>
                        <w:div w:id="12692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7716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7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057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AD4E7"/>
                                    <w:left w:val="single" w:sz="6" w:space="0" w:color="CAD4E7"/>
                                    <w:bottom w:val="single" w:sz="6" w:space="0" w:color="CAD4E7"/>
                                    <w:right w:val="single" w:sz="6" w:space="0" w:color="CAD4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4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549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E3F3"/>
                                    <w:left w:val="single" w:sz="6" w:space="0" w:color="CCE3F3"/>
                                    <w:bottom w:val="single" w:sz="6" w:space="0" w:color="CCE3F3"/>
                                    <w:right w:val="single" w:sz="6" w:space="0" w:color="CCE3F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1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153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5461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8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2705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0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53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627731">
              <w:marLeft w:val="0"/>
              <w:marRight w:val="150"/>
              <w:marTop w:val="180"/>
              <w:marBottom w:val="180"/>
              <w:divBdr>
                <w:top w:val="single" w:sz="6" w:space="5" w:color="C7C7C6"/>
                <w:left w:val="single" w:sz="6" w:space="0" w:color="C7C7C6"/>
                <w:bottom w:val="single" w:sz="6" w:space="0" w:color="C7C7C6"/>
                <w:right w:val="single" w:sz="6" w:space="0" w:color="C7C7C6"/>
              </w:divBdr>
              <w:divsChild>
                <w:div w:id="6211144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7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3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53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89F6-C1ED-4F04-9250-B6D58B21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1</cp:revision>
  <dcterms:created xsi:type="dcterms:W3CDTF">2015-10-01T05:23:00Z</dcterms:created>
  <dcterms:modified xsi:type="dcterms:W3CDTF">2015-10-01T06:57:00Z</dcterms:modified>
</cp:coreProperties>
</file>